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3FCC" w14:textId="77777777" w:rsidR="00C57B06" w:rsidRDefault="00C57B06" w:rsidP="00C57B0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</w:pPr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Big Alcohol </w:t>
      </w:r>
      <w:proofErr w:type="spellStart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 of Health: </w:t>
      </w:r>
      <w:proofErr w:type="spellStart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>What</w:t>
      </w:r>
      <w:proofErr w:type="spellEnd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bdr w:val="none" w:sz="0" w:space="0" w:color="auto" w:frame="1"/>
          <w:lang w:eastAsia="nl-NL"/>
          <w14:ligatures w14:val="none"/>
        </w:rPr>
        <w:t xml:space="preserve"> public health do?</w:t>
      </w:r>
    </w:p>
    <w:p w14:paraId="67AB39E8" w14:textId="77777777" w:rsidR="00C57B06" w:rsidRPr="00C57B06" w:rsidRDefault="00C57B06" w:rsidP="00C57B0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82720"/>
          <w:kern w:val="36"/>
          <w:sz w:val="48"/>
          <w:szCs w:val="48"/>
          <w:lang w:eastAsia="nl-NL"/>
          <w14:ligatures w14:val="none"/>
        </w:rPr>
      </w:pPr>
    </w:p>
    <w:p w14:paraId="7CB64E45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Callie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Anderson</w:t>
      </w:r>
    </w:p>
    <w:p w14:paraId="78E5B31C" w14:textId="77777777" w:rsidR="00C57B06" w:rsidRDefault="00C57B06" w:rsidP="00C57B06">
      <w:pPr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</w:pP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By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Callie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Anderson</w:t>
      </w:r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br/>
      </w:r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br/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Callie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Anderson is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completing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her Masters of Public Health at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University of Waterloo.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She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currently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works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as a Health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Promoter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developing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programs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advocating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for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policies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to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improve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public health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equity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at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community level.</w:t>
      </w:r>
    </w:p>
    <w:p w14:paraId="656A3A7F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</w:p>
    <w:p w14:paraId="1F1537BA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What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are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of Health?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The commercial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determinants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health (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CDoH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) are “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approaches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private sector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promote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choices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detrimental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health”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1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The concept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CDoH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relatively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recently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emerged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area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inquiry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despite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connection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most urgent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challenges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worldwide,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prevention of non-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communicable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(NCD).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The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inquiry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CDoH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over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past decade has led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focus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leading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risk factors (e.g.,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tobacco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poor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diet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inactivity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)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NCDs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burden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attributed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significant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influence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exerted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Big Tobacco, Big Alcohol,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Big Food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2,3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three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most common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CDoH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research,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discussion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CDoH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extended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include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concern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fossil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fuels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gambling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 4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Earlier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year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Canadian Centre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Substance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Addiction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(CCSA)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released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revised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version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Low-risk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Drinking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Guidelines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new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guidance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5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lower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one’s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risk of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recommended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limit alcohol intake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two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standard drinks per week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5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recent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revision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brought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renewed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attention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societal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impact of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spurred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interest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exploring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interests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even alcohol policy.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Use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of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“Corporate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Playbook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”: A few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examples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from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Big Alcohol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Lacy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-Nichols et al. have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synthesized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defined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key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commonly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protect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business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interests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largely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expense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public health,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‘corporate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playbook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’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Here I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discuss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few of these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deployed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Big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specifically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Normalization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,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denial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,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spread of misinformation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The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deploys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several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normalize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alcoholic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beverages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framing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public’s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perceptions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alcohol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4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We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observe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plain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sight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marketing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lastRenderedPageBreak/>
        <w:t xml:space="preserve">advertising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sporting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events,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social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media, on bus shelters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billboards,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product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placements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favorite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TV shows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movies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However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these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less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visible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For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youth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educational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programs have been found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teach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students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peer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pressure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‘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responsible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’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largely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leaving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out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discussion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marketing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advertising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tactics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as well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4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These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present alcohol as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normal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behaviour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must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learn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navigate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thus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placing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blame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irresponsible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individual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away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4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Beyond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normalize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played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significant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perception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alcohol-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denying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distorting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scientific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evidence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7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Leading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bodies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have been found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deny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relationship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between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cancer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exists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or have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omitted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mention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cancer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messaging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7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Further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been found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distort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facts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implying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risk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depends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(i.e.,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binge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drinking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higher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risk)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7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Distraction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yet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take attention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away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plays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been found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focus attention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various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risk factors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cancer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7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actions have led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spread of misinformation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largely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allowed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remain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stigma-free.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Political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policy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influence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via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problem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framing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normalization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denialist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have been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public’s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perception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influenced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understood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among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policymakers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framed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problem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requiring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 action.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 8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framing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problems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associated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operating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individual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level,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removes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discussion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therefore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subsequent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measures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address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problem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8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The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actively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works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situate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itself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key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stakeholder in policymaking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participating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public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consultations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parliamentary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committees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building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relationships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actors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regarding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themselves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partners in policy development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 8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We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see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examples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type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influence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Canadian policy most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recently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successful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lobbying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federal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reduce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scheduled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6.3%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was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pegged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inflation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9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These types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 tools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disposal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improve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generate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revenue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address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social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costs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 The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actual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impact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both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producers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consumers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would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have been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minimal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price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imported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six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-pack of beer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would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5-10 cents.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However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immediately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engaged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lobbying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media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citing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significant impacts on restaurants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bars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still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recovering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post-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pandemic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10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As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result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lobbying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outcry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responded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raising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2%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2023-2024,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after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lastRenderedPageBreak/>
        <w:t>which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point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re-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evaluated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contrast,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scheduled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6.3%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tobacco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went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ahead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opposition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Corporate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social</w:t>
      </w:r>
      <w:proofErr w:type="spellEnd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i/>
          <w:i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responsibility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A brief search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provincial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liquor control boards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demonstrates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action.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Liquor Control Board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Ontario’s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(LCBO) </w:t>
      </w:r>
      <w:hyperlink r:id="rId4" w:tgtFrame="_blank" w:history="1"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“</w:t>
        </w:r>
        <w:proofErr w:type="spellStart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Shine</w:t>
        </w:r>
        <w:proofErr w:type="spellEnd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 </w:t>
        </w:r>
        <w:proofErr w:type="spellStart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Sustainability</w:t>
        </w:r>
        <w:proofErr w:type="spellEnd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” </w:t>
        </w:r>
        <w:proofErr w:type="spellStart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Opens</w:t>
        </w:r>
        <w:proofErr w:type="spellEnd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 in a new </w:t>
        </w:r>
        <w:proofErr w:type="spellStart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window</w:t>
        </w:r>
        <w:proofErr w:type="spellEnd"/>
      </w:hyperlink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campaign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British Columbia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Liquor's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(BCL) 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fldChar w:fldCharType="begin"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instrText xml:space="preserve"> HYPERLINK "https://www.bcliquorstores.com/social-responsibility" \t "_blank" </w:instrTex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fldChar w:fldCharType="separate"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fetal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 xml:space="preserve">-alcohol spectrum disorder (FASD) awareness, safe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ride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 xml:space="preserve"> Red Cross disaster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relief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initiatives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 </w:t>
      </w:r>
      <w:proofErr w:type="spellStart"/>
      <w:r w:rsidRPr="00C57B06">
        <w:rPr>
          <w:rFonts w:ascii="FontAwesome" w:eastAsia="Times New Roman" w:hAnsi="FontAwesome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Opens</w:t>
      </w:r>
      <w:proofErr w:type="spellEnd"/>
      <w:r w:rsidRPr="00C57B06">
        <w:rPr>
          <w:rFonts w:ascii="FontAwesome" w:eastAsia="Times New Roman" w:hAnsi="FontAwesome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 xml:space="preserve"> in a new </w:t>
      </w:r>
      <w:proofErr w:type="spellStart"/>
      <w:r w:rsidRPr="00C57B06">
        <w:rPr>
          <w:rFonts w:ascii="FontAwesome" w:eastAsia="Times New Roman" w:hAnsi="FontAwesome" w:cs="Arial"/>
          <w:color w:val="282720"/>
          <w:kern w:val="0"/>
          <w:sz w:val="24"/>
          <w:szCs w:val="24"/>
          <w:u w:val="single"/>
          <w:bdr w:val="none" w:sz="0" w:space="0" w:color="auto" w:frame="1"/>
          <w:lang w:eastAsia="nl-NL"/>
          <w14:ligatures w14:val="none"/>
        </w:rPr>
        <w:t>window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fldChar w:fldCharType="end"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campaigns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‘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illusion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righteousness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’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11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LCBO’s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initiative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strives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associate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philanthropy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means of brand marketing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allows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access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currently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untapped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markets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11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In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addition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philanthropic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initiatives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BCL’s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campaigns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further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contribute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framing of alcohol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individual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responsibility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thus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aiding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in framing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policymaker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alcohol,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perpetuating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reputation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11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What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can</w:t>
      </w:r>
      <w:proofErr w:type="spellEnd"/>
      <w:r w:rsidRPr="00C57B06">
        <w:rPr>
          <w:rFonts w:ascii="inherit" w:eastAsia="Times New Roman" w:hAnsi="inherit" w:cs="Arial"/>
          <w:b/>
          <w:bCs/>
          <w:color w:val="28272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public health do?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new Low-Risk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Drinking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Guidelines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likely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large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proportion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Canadians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consuming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hazardous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level,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there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need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policy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better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applied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known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substances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Below are a few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ideas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respond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corporate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playbook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I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encourage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read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article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Lacy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-Nichols et al.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learn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more.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Education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training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health professionals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 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: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undergraduate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graduate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degrees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include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focus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determinants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counter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tactics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advocacy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communications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community engagement/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mobilization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among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strategies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</w:t>
      </w:r>
    </w:p>
    <w:p w14:paraId="0C07AC78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sector resources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challenge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strategies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multi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-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billion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-dollar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industries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sector must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sufficiently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resourced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like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initially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scheduled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evidence-based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 tools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generate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revenues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directed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towards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initiatives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improve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. Through health policy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advocacy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efforts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, public health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include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 focus 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exposing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tactics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working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influence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only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policy, but public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perception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well.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> </w:t>
      </w:r>
    </w:p>
    <w:p w14:paraId="1D703F87" w14:textId="77777777" w:rsid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Change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: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great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power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shape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considered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harmful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responsible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harms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occur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(i.e.,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individuals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opposed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industry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).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pervades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society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affects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degree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government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actors take action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protect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public health. Public health must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find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new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ways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communicate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advocate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evidence-based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policy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addresses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root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causes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poor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health in order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challenge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corporate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narratives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protect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interests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at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expense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of public health </w:t>
      </w:r>
      <w:r w:rsidRPr="00C57B06">
        <w:rPr>
          <w:rFonts w:ascii="inherit" w:eastAsia="Times New Roman" w:hAnsi="inherit" w:cs="Arial"/>
          <w:color w:val="282720"/>
          <w:kern w:val="0"/>
          <w:sz w:val="14"/>
          <w:szCs w:val="14"/>
          <w:bdr w:val="none" w:sz="0" w:space="0" w:color="auto" w:frame="1"/>
          <w:vertAlign w:val="superscript"/>
          <w:lang w:eastAsia="nl-NL"/>
          <w14:ligatures w14:val="none"/>
        </w:rPr>
        <w:t>6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 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 xml:space="preserve">Have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say: </w:t>
      </w:r>
      <w:hyperlink r:id="rId5" w:tgtFrame="_blank" w:history="1"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advocate </w:t>
        </w:r>
        <w:proofErr w:type="spellStart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to</w:t>
        </w:r>
        <w:proofErr w:type="spellEnd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 </w:t>
        </w:r>
        <w:proofErr w:type="spellStart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your</w:t>
        </w:r>
        <w:proofErr w:type="spellEnd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 Member of </w:t>
        </w:r>
        <w:proofErr w:type="spellStart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Parliament</w:t>
        </w:r>
        <w:proofErr w:type="spellEnd"/>
        <w:r w:rsidRPr="00C57B06">
          <w:rPr>
            <w:rFonts w:ascii="Arial" w:eastAsia="Times New Roman" w:hAnsi="Arial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 </w:t>
        </w:r>
        <w:proofErr w:type="spellStart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Opens</w:t>
        </w:r>
        <w:proofErr w:type="spellEnd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 xml:space="preserve"> in a new </w:t>
        </w:r>
        <w:proofErr w:type="spellStart"/>
        <w:r w:rsidRPr="00C57B06">
          <w:rPr>
            <w:rFonts w:ascii="FontAwesome" w:eastAsia="Times New Roman" w:hAnsi="FontAwesome" w:cs="Arial"/>
            <w:color w:val="282720"/>
            <w:kern w:val="0"/>
            <w:sz w:val="24"/>
            <w:szCs w:val="24"/>
            <w:u w:val="single"/>
            <w:bdr w:val="none" w:sz="0" w:space="0" w:color="auto" w:frame="1"/>
            <w:lang w:eastAsia="nl-NL"/>
            <w14:ligatures w14:val="none"/>
          </w:rPr>
          <w:t>window</w:t>
        </w:r>
        <w:proofErr w:type="spellEnd"/>
      </w:hyperlink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 in support of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maintaining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scheduled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excise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tax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increases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 xml:space="preserve"> on alcohol </w:t>
      </w:r>
      <w:proofErr w:type="spellStart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products</w:t>
      </w:r>
      <w:proofErr w:type="spellEnd"/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t>.</w:t>
      </w:r>
    </w:p>
    <w:p w14:paraId="0796EAC4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</w:p>
    <w:p w14:paraId="7641DFE7" w14:textId="77777777" w:rsidR="00C57B06" w:rsidRPr="00C57B06" w:rsidRDefault="00C57B06" w:rsidP="00C57B06">
      <w:pPr>
        <w:spacing w:after="0" w:line="240" w:lineRule="auto"/>
        <w:textAlignment w:val="baseline"/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</w:pP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lastRenderedPageBreak/>
        <w:t>References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 xml:space="preserve">1.    Kickbush, I., Allen, L. &amp; Franz, C. (2016). The commercial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health. The Lancet, 4(12). https://doi.org/10.1016/S2214-109X(16)30217-0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 xml:space="preserve">2.    de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Lacy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Vawdon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C. &amp;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Livingstone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C. (2020).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Defining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health: a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systematic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review. BMC Public Health, 20(1022). https://doi.org/10.1186/s12889-020-09126-1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3.    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Mailon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M. (2020). An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overview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commercial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health.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Globalization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Health, 16(74). https://doi.org/10.1186/s12992-020-00607-x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4.    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Maani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Nason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Mark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Petticrew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Sandro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Galea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(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eds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), The Commercial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Determinants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Health (New York, 2022; online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edn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Oxford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Academic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20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Oct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. 2022), https://doi.org/10.1093/oso/9780197578742.001.0001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5.    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Paradis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C.,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Butt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P.,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Shield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K., Poole, N., Wells, S.,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Naimi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T.,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Sherk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A., &amp;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Low-Risk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Drinking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Guidelines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Scientific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Expert Panels. (2023). Canada’s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Guidance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on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Health: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Final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Report. Ottawa, Ont.: Canadian Centre on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Substance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Use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Addiction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6.    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Lacy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-Nichols, J., Marten, R.,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Crosbie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E. &amp;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Moodie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R. (2022). The public health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playbook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: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ideas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for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challenging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corporate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playbook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. The Lancet, 10(7). https://doi.org/10.1016/S2214-109X(22)00185-1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7.    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Petticrew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M.,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Hessari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N. M.,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Knai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C. &amp; Weiderpass, E. (2017). How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industry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organisations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mislead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public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about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cancer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. Drug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Alcohol Review, 37(3). https://doi.org/10.1111/dar.12596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 xml:space="preserve">8.    McCambridge, J.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Mialon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M. &amp;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Hawkins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B. (2018).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industry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involvement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in policymaking: a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systematic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review.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Addiction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, 113(9). https://doi.org/10.1111%2Fadd.14216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 xml:space="preserve">9.    Federal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government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capping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excise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tax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on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after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outcry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(28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March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2023). CTV News.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Retrieved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from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https://ottawa.ctvnews.ca/federal-government-capping-excise-tax-on-alcohol-after-outcry-1.6332687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 xml:space="preserve">10.    Restaurants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and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bars brace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for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biggest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jump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in 40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years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(24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March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2023). CTV News.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Retrieved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from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https://www.ctvnews.ca/politics/restaurants-and-bars-brace-for-biggest-alcohol-tax-jump-in-40-years-1.6327044?_cldee=KJ8N_g8RmdENuysGHRKg4l7USzzGJmLKY4-CmZKP6ARHer7-1XnFg5SSPtXI7Q3z&amp;recipientid=contact-34d93a183ae6eb11bacb0022486d826f-d48ca09de7504ddc88a0335a46f74788&amp;esid=7744f375-42ca-ed11-b596-000d3a09c3d2 </w:t>
      </w:r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br/>
        <w:t>11.    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Yoon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, S. (2013). The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illusion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righteousness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: corporate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social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responsibility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practices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of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the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 xml:space="preserve"> alcohol </w:t>
      </w:r>
      <w:proofErr w:type="spellStart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industry</w:t>
      </w:r>
      <w:proofErr w:type="spellEnd"/>
      <w:r w:rsidRPr="00C57B06">
        <w:rPr>
          <w:rFonts w:ascii="inherit" w:eastAsia="Times New Roman" w:hAnsi="inherit" w:cs="Arial"/>
          <w:color w:val="282720"/>
          <w:kern w:val="0"/>
          <w:sz w:val="19"/>
          <w:szCs w:val="19"/>
          <w:bdr w:val="none" w:sz="0" w:space="0" w:color="auto" w:frame="1"/>
          <w:lang w:eastAsia="nl-NL"/>
          <w14:ligatures w14:val="none"/>
        </w:rPr>
        <w:t>. BMC Public Health, 13(630). https://doi.org/10.1186/1471-2458-13-630</w:t>
      </w:r>
      <w:r w:rsidRPr="00C57B06">
        <w:rPr>
          <w:rFonts w:ascii="Arial" w:eastAsia="Times New Roman" w:hAnsi="Arial" w:cs="Arial"/>
          <w:color w:val="282720"/>
          <w:kern w:val="0"/>
          <w:sz w:val="24"/>
          <w:szCs w:val="24"/>
          <w:lang w:eastAsia="nl-NL"/>
          <w14:ligatures w14:val="none"/>
        </w:rPr>
        <w:br/>
        <w:t> </w:t>
      </w:r>
    </w:p>
    <w:p w14:paraId="6213D198" w14:textId="77777777" w:rsidR="00FF4FDA" w:rsidRDefault="00FF4FDA"/>
    <w:sectPr w:rsidR="00FF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6"/>
    <w:rsid w:val="00756461"/>
    <w:rsid w:val="00C57B06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8815"/>
  <w15:chartTrackingRefBased/>
  <w15:docId w15:val="{6E819241-3D66-4F63-B1F9-DD0DB06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us.cpha.ca/civicrm/mailing/view?reset=1&amp;id=450&amp;cid=23403&amp;cs=cad5c4f29da60c4c2c4467660cc43f98_1679945128_168" TargetMode="External"/><Relationship Id="rId4" Type="http://schemas.openxmlformats.org/officeDocument/2006/relationships/hyperlink" Target="https://www.lcbo.com/content/lcbo/en/sustainability.html?icid=banner_spirit-of-sustain_p1_hmpg_w1_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Dalen | STAP</dc:creator>
  <cp:keywords/>
  <dc:description/>
  <cp:lastModifiedBy>Wim van Dalen | STAP</cp:lastModifiedBy>
  <cp:revision>2</cp:revision>
  <dcterms:created xsi:type="dcterms:W3CDTF">2023-04-14T09:05:00Z</dcterms:created>
  <dcterms:modified xsi:type="dcterms:W3CDTF">2023-04-14T09:05:00Z</dcterms:modified>
</cp:coreProperties>
</file>